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FE3E7" w14:textId="77777777" w:rsidR="005A6A9B" w:rsidRPr="000546C9" w:rsidRDefault="006C5A06">
      <w:pPr>
        <w:pStyle w:val="Heading1"/>
        <w:rPr>
          <w:rFonts w:ascii="Arial" w:hAnsi="Arial" w:cs="Arial"/>
          <w:b/>
          <w:bCs/>
          <w:sz w:val="24"/>
          <w:szCs w:val="24"/>
        </w:rPr>
      </w:pPr>
      <w:r w:rsidRPr="000546C9">
        <w:rPr>
          <w:rFonts w:ascii="Arial" w:hAnsi="Arial" w:cs="Arial"/>
          <w:b/>
          <w:bCs/>
          <w:sz w:val="24"/>
          <w:szCs w:val="24"/>
        </w:rPr>
        <w:t>Hoja de Metadatos</w:t>
      </w:r>
    </w:p>
    <w:p w14:paraId="768DFC77" w14:textId="77777777" w:rsidR="006C5A06" w:rsidRPr="00E216DD" w:rsidRDefault="006C5A06" w:rsidP="006C5A06">
      <w:pPr>
        <w:rPr>
          <w:rFonts w:ascii="Arial" w:hAnsi="Arial" w:cs="Arial"/>
          <w:color w:val="56152F" w:themeColor="accent1" w:themeShade="BF"/>
          <w:sz w:val="24"/>
          <w:szCs w:val="24"/>
        </w:rPr>
      </w:pP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2689"/>
        <w:gridCol w:w="6747"/>
      </w:tblGrid>
      <w:tr w:rsidR="00E216DD" w:rsidRPr="00E216DD" w14:paraId="5D35971D" w14:textId="77777777" w:rsidTr="000546C9">
        <w:trPr>
          <w:trHeight w:val="449"/>
        </w:trPr>
        <w:tc>
          <w:tcPr>
            <w:tcW w:w="2689" w:type="dxa"/>
            <w:hideMark/>
          </w:tcPr>
          <w:p w14:paraId="401B4A94" w14:textId="77777777" w:rsidR="006C5A06" w:rsidRPr="00E216DD" w:rsidRDefault="006C5A06" w:rsidP="006C5A06">
            <w:pPr>
              <w:rPr>
                <w:rFonts w:ascii="Arial" w:hAnsi="Arial" w:cs="Arial"/>
                <w:b/>
                <w:bCs/>
                <w:color w:val="731C3F" w:themeColor="accent1"/>
                <w:sz w:val="22"/>
                <w:szCs w:val="22"/>
              </w:rPr>
            </w:pPr>
            <w:r w:rsidRPr="00E216DD">
              <w:rPr>
                <w:rFonts w:ascii="Arial" w:hAnsi="Arial" w:cs="Arial"/>
                <w:b/>
                <w:bCs/>
                <w:color w:val="731C3F" w:themeColor="accent1"/>
                <w:sz w:val="22"/>
                <w:szCs w:val="22"/>
              </w:rPr>
              <w:t>Campo</w:t>
            </w:r>
          </w:p>
        </w:tc>
        <w:tc>
          <w:tcPr>
            <w:tcW w:w="6747" w:type="dxa"/>
            <w:hideMark/>
          </w:tcPr>
          <w:p w14:paraId="7208F896" w14:textId="77777777" w:rsidR="006C5A06" w:rsidRPr="00E216DD" w:rsidRDefault="006C5A06" w:rsidP="006C5A06">
            <w:pPr>
              <w:jc w:val="center"/>
              <w:rPr>
                <w:rFonts w:ascii="Arial" w:hAnsi="Arial" w:cs="Arial"/>
                <w:b/>
                <w:bCs/>
                <w:color w:val="731C3F" w:themeColor="accent1"/>
                <w:sz w:val="22"/>
                <w:szCs w:val="22"/>
              </w:rPr>
            </w:pPr>
            <w:r w:rsidRPr="00E216DD">
              <w:rPr>
                <w:rFonts w:ascii="Arial" w:hAnsi="Arial" w:cs="Arial"/>
                <w:b/>
                <w:bCs/>
                <w:color w:val="731C3F" w:themeColor="accent1"/>
                <w:sz w:val="22"/>
                <w:szCs w:val="22"/>
              </w:rPr>
              <w:t>Descripción</w:t>
            </w:r>
          </w:p>
        </w:tc>
      </w:tr>
      <w:tr w:rsidR="006C5A06" w:rsidRPr="000546C9" w14:paraId="3406B2F0" w14:textId="77777777" w:rsidTr="000A0D91">
        <w:trPr>
          <w:trHeight w:val="674"/>
        </w:trPr>
        <w:tc>
          <w:tcPr>
            <w:tcW w:w="2689" w:type="dxa"/>
            <w:hideMark/>
          </w:tcPr>
          <w:p w14:paraId="6BF320DA" w14:textId="77777777" w:rsidR="006C5A06" w:rsidRPr="000546C9" w:rsidRDefault="006C5A06" w:rsidP="006C5A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6C9">
              <w:rPr>
                <w:rFonts w:ascii="Arial" w:hAnsi="Arial" w:cs="Arial"/>
                <w:b/>
                <w:bCs/>
                <w:sz w:val="22"/>
                <w:szCs w:val="22"/>
              </w:rPr>
              <w:t>Título*</w:t>
            </w:r>
          </w:p>
        </w:tc>
        <w:tc>
          <w:tcPr>
            <w:tcW w:w="6747" w:type="dxa"/>
            <w:hideMark/>
          </w:tcPr>
          <w:p w14:paraId="69404BEC" w14:textId="77777777" w:rsidR="00217E66" w:rsidRPr="00DD75F3" w:rsidRDefault="00217E66" w:rsidP="00217E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75F3">
              <w:rPr>
                <w:rFonts w:ascii="Arial" w:hAnsi="Arial" w:cs="Arial"/>
                <w:b/>
                <w:sz w:val="22"/>
                <w:szCs w:val="22"/>
              </w:rPr>
              <w:t>BASE DE DATOS DEL GASTO EN INVERSIÓN PÚBLICA</w:t>
            </w:r>
          </w:p>
          <w:p w14:paraId="62AD78F8" w14:textId="77777777" w:rsidR="006C5A06" w:rsidRPr="00DD75F3" w:rsidRDefault="00217E66" w:rsidP="00217E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75F3">
              <w:rPr>
                <w:rFonts w:ascii="Arial" w:hAnsi="Arial" w:cs="Arial"/>
                <w:b/>
                <w:sz w:val="22"/>
                <w:szCs w:val="22"/>
              </w:rPr>
              <w:t>DE AMÉRICA LATINA (BDD-GIPAL)</w:t>
            </w:r>
          </w:p>
        </w:tc>
      </w:tr>
      <w:tr w:rsidR="006C5A06" w:rsidRPr="000546C9" w14:paraId="16472A1B" w14:textId="77777777" w:rsidTr="00346D4C">
        <w:trPr>
          <w:trHeight w:val="2609"/>
        </w:trPr>
        <w:tc>
          <w:tcPr>
            <w:tcW w:w="2689" w:type="dxa"/>
            <w:hideMark/>
          </w:tcPr>
          <w:p w14:paraId="000B69CC" w14:textId="77777777" w:rsidR="006C5A06" w:rsidRPr="000546C9" w:rsidRDefault="006C5A06" w:rsidP="006C5A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6C9">
              <w:rPr>
                <w:rFonts w:ascii="Arial" w:hAnsi="Arial" w:cs="Arial"/>
                <w:b/>
                <w:bCs/>
                <w:sz w:val="22"/>
                <w:szCs w:val="22"/>
              </w:rPr>
              <w:t>Descripción*</w:t>
            </w:r>
          </w:p>
        </w:tc>
        <w:tc>
          <w:tcPr>
            <w:tcW w:w="6747" w:type="dxa"/>
            <w:hideMark/>
          </w:tcPr>
          <w:p w14:paraId="50E66AF6" w14:textId="4022755D" w:rsidR="00217E66" w:rsidRPr="00217E66" w:rsidRDefault="00217E66" w:rsidP="00346D4C">
            <w:pPr>
              <w:jc w:val="both"/>
              <w:rPr>
                <w:rFonts w:ascii="Arial" w:hAnsi="Arial" w:cs="Arial"/>
                <w:sz w:val="22"/>
                <w:szCs w:val="22"/>
                <w:lang w:val="es-DO"/>
              </w:rPr>
            </w:pPr>
            <w:r w:rsidRPr="00217E66">
              <w:rPr>
                <w:rFonts w:ascii="Arial" w:hAnsi="Arial" w:cs="Arial"/>
                <w:sz w:val="22"/>
                <w:szCs w:val="22"/>
                <w:lang w:val="es-ES_tradnl"/>
              </w:rPr>
              <w:t>La BDD-GIPAL aporta datos históricos estandarizados del gasto ejecutado en Inversión Pública de América Latina (AL) para el período 2000-16. BDD-GIPAL es una de las plataformas con mayor cobertura y desagregación de datos de inversión pública de AL. Se presenta</w:t>
            </w:r>
            <w:r w:rsidR="00AD255F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información</w:t>
            </w:r>
            <w:r w:rsidRPr="00217E6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16 países, la cobertura del gasto representa al Sector Público No Financiero</w:t>
            </w:r>
            <w:r w:rsidR="000A0D9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(SPNF)</w:t>
            </w:r>
            <w:r w:rsidRPr="00217E66">
              <w:rPr>
                <w:rFonts w:ascii="Arial" w:hAnsi="Arial" w:cs="Arial"/>
                <w:sz w:val="22"/>
                <w:szCs w:val="22"/>
                <w:lang w:val="es-ES_tradnl"/>
              </w:rPr>
              <w:t>, y, los datos se presentan desagregados bajo las clasificaciones del gasto funcional, económica e institucional</w:t>
            </w:r>
            <w:r w:rsidRPr="00217E66">
              <w:rPr>
                <w:rFonts w:ascii="Arial" w:hAnsi="Arial" w:cs="Arial"/>
                <w:sz w:val="22"/>
                <w:szCs w:val="22"/>
                <w:lang w:val="es-DO"/>
              </w:rPr>
              <w:t>.</w:t>
            </w:r>
          </w:p>
          <w:p w14:paraId="32A22D85" w14:textId="77777777" w:rsidR="00217E66" w:rsidRDefault="00217E66" w:rsidP="00346D4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_tradnl"/>
              </w:rPr>
            </w:pPr>
          </w:p>
          <w:p w14:paraId="12B919BE" w14:textId="5A8ABAB6" w:rsidR="00217E66" w:rsidRDefault="00346D4C" w:rsidP="00346D4C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Siguiendo manuales de estadísticas fiscales y de clasificaciones del gasto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e.g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>. MEFP-FMI 2014, UN/OCDE 200</w:t>
            </w:r>
            <w:r w:rsidR="00F42F19">
              <w:rPr>
                <w:rFonts w:ascii="Arial" w:hAnsi="Arial" w:cs="Arial"/>
                <w:sz w:val="22"/>
                <w:szCs w:val="22"/>
                <w:lang w:val="es-ES_tradnl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), s</w:t>
            </w:r>
            <w:r w:rsidR="00217E66" w:rsidRPr="00217E66">
              <w:rPr>
                <w:rFonts w:ascii="Arial" w:hAnsi="Arial" w:cs="Arial"/>
                <w:sz w:val="22"/>
                <w:szCs w:val="22"/>
                <w:lang w:val="es-ES_tradnl"/>
              </w:rPr>
              <w:t>e identificaron las series históricas del “gasto ejecutado” en inversión pública (base devengado) en las fuentes nacionales, siendo las principales los ministerios de finanzas, los bancos centrales y los portales de transparencia fiscal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. </w:t>
            </w:r>
            <w:r w:rsidR="00217E66" w:rsidRPr="00217E66">
              <w:rPr>
                <w:rFonts w:ascii="Arial" w:hAnsi="Arial" w:cs="Arial"/>
                <w:sz w:val="22"/>
                <w:szCs w:val="22"/>
                <w:lang w:val="es-ES_tradnl"/>
              </w:rPr>
              <w:t>Los datos fueron consolidados, estandarizados y validados a través del contacto directo con los técnicos de los países.</w:t>
            </w:r>
          </w:p>
          <w:p w14:paraId="1729BFE5" w14:textId="77777777" w:rsidR="004864EB" w:rsidRPr="00217E66" w:rsidRDefault="004864EB" w:rsidP="00346D4C">
            <w:pPr>
              <w:jc w:val="both"/>
              <w:rPr>
                <w:rFonts w:ascii="Arial" w:hAnsi="Arial" w:cs="Arial"/>
                <w:sz w:val="22"/>
                <w:szCs w:val="22"/>
                <w:lang w:val="es-DO"/>
              </w:rPr>
            </w:pPr>
          </w:p>
          <w:p w14:paraId="621D3A01" w14:textId="77777777" w:rsidR="006C5A06" w:rsidRPr="00217E66" w:rsidRDefault="006C5A06">
            <w:pPr>
              <w:rPr>
                <w:rFonts w:ascii="Arial" w:hAnsi="Arial" w:cs="Arial"/>
                <w:sz w:val="22"/>
                <w:szCs w:val="22"/>
                <w:lang w:val="es-DO"/>
              </w:rPr>
            </w:pPr>
          </w:p>
        </w:tc>
      </w:tr>
      <w:tr w:rsidR="006C5A06" w:rsidRPr="000546C9" w14:paraId="58BD274C" w14:textId="77777777" w:rsidTr="00AD255F">
        <w:trPr>
          <w:trHeight w:val="458"/>
        </w:trPr>
        <w:tc>
          <w:tcPr>
            <w:tcW w:w="2689" w:type="dxa"/>
            <w:hideMark/>
          </w:tcPr>
          <w:p w14:paraId="43271D4F" w14:textId="77777777" w:rsidR="006C5A06" w:rsidRPr="000546C9" w:rsidRDefault="006C5A06" w:rsidP="006C5A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6C9">
              <w:rPr>
                <w:rFonts w:ascii="Arial" w:hAnsi="Arial" w:cs="Arial"/>
                <w:b/>
                <w:bCs/>
                <w:sz w:val="22"/>
                <w:szCs w:val="22"/>
              </w:rPr>
              <w:t>Editor</w:t>
            </w:r>
            <w:r w:rsidR="00EE53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</w:t>
            </w:r>
            <w:r w:rsidRPr="000546C9">
              <w:rPr>
                <w:rFonts w:ascii="Arial" w:hAnsi="Arial" w:cs="Arial"/>
                <w:b/>
                <w:bCs/>
                <w:sz w:val="22"/>
                <w:szCs w:val="22"/>
              </w:rPr>
              <w:t>Publisher*</w:t>
            </w:r>
          </w:p>
        </w:tc>
        <w:tc>
          <w:tcPr>
            <w:tcW w:w="6747" w:type="dxa"/>
            <w:hideMark/>
          </w:tcPr>
          <w:p w14:paraId="4E9C2ED3" w14:textId="0383B50B" w:rsidR="006C5A06" w:rsidRPr="000546C9" w:rsidRDefault="00217E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División de Gestión Fiscal (IFD/FMM), Banco Interamericano de Des</w:t>
            </w:r>
            <w:r w:rsidR="00AD255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rrollo</w:t>
            </w:r>
          </w:p>
        </w:tc>
      </w:tr>
      <w:tr w:rsidR="006C5A06" w:rsidRPr="00217E66" w14:paraId="5B6D80AB" w14:textId="77777777" w:rsidTr="00DD75F3">
        <w:trPr>
          <w:trHeight w:val="620"/>
        </w:trPr>
        <w:tc>
          <w:tcPr>
            <w:tcW w:w="2689" w:type="dxa"/>
            <w:hideMark/>
          </w:tcPr>
          <w:p w14:paraId="6B9975DC" w14:textId="77777777" w:rsidR="006C5A06" w:rsidRPr="000546C9" w:rsidRDefault="006C5A06" w:rsidP="006C5A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6C9">
              <w:rPr>
                <w:rFonts w:ascii="Arial" w:hAnsi="Arial" w:cs="Arial"/>
                <w:b/>
                <w:bCs/>
                <w:sz w:val="22"/>
                <w:szCs w:val="22"/>
              </w:rPr>
              <w:t>Creador*</w:t>
            </w:r>
          </w:p>
        </w:tc>
        <w:tc>
          <w:tcPr>
            <w:tcW w:w="6747" w:type="dxa"/>
            <w:hideMark/>
          </w:tcPr>
          <w:p w14:paraId="794B5E4C" w14:textId="6807ACB6" w:rsidR="00217E66" w:rsidRPr="00217E66" w:rsidRDefault="00217E66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17E66">
              <w:rPr>
                <w:rFonts w:ascii="Arial" w:hAnsi="Arial" w:cs="Arial"/>
                <w:sz w:val="22"/>
                <w:szCs w:val="22"/>
                <w:lang w:val="pt-BR"/>
              </w:rPr>
              <w:t>Edna Armendáriz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; </w:t>
            </w:r>
            <w:r w:rsidRPr="00217E66">
              <w:rPr>
                <w:rFonts w:ascii="Arial" w:hAnsi="Arial" w:cs="Arial"/>
                <w:sz w:val="22"/>
                <w:szCs w:val="22"/>
                <w:lang w:val="pt-BR"/>
              </w:rPr>
              <w:t>Haydeeliz Carrasco</w:t>
            </w:r>
            <w:r w:rsidR="00B94ED9">
              <w:rPr>
                <w:rFonts w:ascii="Arial" w:hAnsi="Arial" w:cs="Arial"/>
                <w:sz w:val="22"/>
                <w:szCs w:val="22"/>
                <w:lang w:val="pt-BR"/>
              </w:rPr>
              <w:t>;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217E66">
              <w:rPr>
                <w:rFonts w:ascii="Arial" w:hAnsi="Arial" w:cs="Arial"/>
                <w:sz w:val="22"/>
                <w:szCs w:val="22"/>
                <w:lang w:val="pt-BR"/>
              </w:rPr>
              <w:t>Germán Galindo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y </w:t>
            </w:r>
            <w:r w:rsidRPr="00217E66">
              <w:rPr>
                <w:rFonts w:ascii="Arial" w:hAnsi="Arial" w:cs="Arial"/>
                <w:sz w:val="22"/>
                <w:szCs w:val="22"/>
                <w:lang w:val="pt-BR"/>
              </w:rPr>
              <w:t>Camila Rodrigues</w:t>
            </w:r>
            <w:r w:rsidR="00DA6821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</w:tc>
      </w:tr>
      <w:tr w:rsidR="006C5A06" w:rsidRPr="000546C9" w14:paraId="65539DD0" w14:textId="77777777" w:rsidTr="00DD75F3">
        <w:trPr>
          <w:trHeight w:val="350"/>
        </w:trPr>
        <w:tc>
          <w:tcPr>
            <w:tcW w:w="2689" w:type="dxa"/>
            <w:hideMark/>
          </w:tcPr>
          <w:p w14:paraId="12EE1217" w14:textId="77777777" w:rsidR="006C5A06" w:rsidRPr="000546C9" w:rsidRDefault="006C5A06" w:rsidP="006C5A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6C9">
              <w:rPr>
                <w:rFonts w:ascii="Arial" w:hAnsi="Arial" w:cs="Arial"/>
                <w:b/>
                <w:bCs/>
                <w:sz w:val="22"/>
                <w:szCs w:val="22"/>
              </w:rPr>
              <w:t>Fecha de creación*</w:t>
            </w:r>
          </w:p>
        </w:tc>
        <w:tc>
          <w:tcPr>
            <w:tcW w:w="6747" w:type="dxa"/>
            <w:hideMark/>
          </w:tcPr>
          <w:p w14:paraId="5238BA65" w14:textId="35C7A505" w:rsidR="006C5A06" w:rsidRPr="000546C9" w:rsidRDefault="00217E66">
            <w:pPr>
              <w:rPr>
                <w:rFonts w:ascii="Arial" w:hAnsi="Arial" w:cs="Arial"/>
                <w:sz w:val="22"/>
                <w:szCs w:val="22"/>
              </w:rPr>
            </w:pPr>
            <w:r w:rsidRPr="00DA6821">
              <w:rPr>
                <w:rFonts w:ascii="Arial" w:hAnsi="Arial" w:cs="Arial"/>
                <w:sz w:val="22"/>
                <w:szCs w:val="22"/>
              </w:rPr>
              <w:t>201</w:t>
            </w:r>
            <w:r w:rsidR="000A0D91" w:rsidRPr="00DA6821">
              <w:rPr>
                <w:rFonts w:ascii="Arial" w:hAnsi="Arial" w:cs="Arial"/>
                <w:sz w:val="22"/>
                <w:szCs w:val="22"/>
              </w:rPr>
              <w:t>5</w:t>
            </w:r>
            <w:r w:rsidRPr="00DA6821">
              <w:rPr>
                <w:rFonts w:ascii="Arial" w:hAnsi="Arial" w:cs="Arial"/>
                <w:sz w:val="22"/>
                <w:szCs w:val="22"/>
              </w:rPr>
              <w:t>-201</w:t>
            </w:r>
            <w:r w:rsidR="00DA6821" w:rsidRPr="00DA6821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6C5A06" w:rsidRPr="000546C9" w14:paraId="13112DA0" w14:textId="77777777" w:rsidTr="00DD75F3">
        <w:trPr>
          <w:trHeight w:val="350"/>
        </w:trPr>
        <w:tc>
          <w:tcPr>
            <w:tcW w:w="2689" w:type="dxa"/>
            <w:hideMark/>
          </w:tcPr>
          <w:p w14:paraId="53DA2EB2" w14:textId="77777777" w:rsidR="006C5A06" w:rsidRPr="000546C9" w:rsidRDefault="006C5A06" w:rsidP="006C5A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6C9">
              <w:rPr>
                <w:rFonts w:ascii="Arial" w:hAnsi="Arial" w:cs="Arial"/>
                <w:b/>
                <w:bCs/>
                <w:sz w:val="22"/>
                <w:szCs w:val="22"/>
              </w:rPr>
              <w:t>Cobertura Temporal*</w:t>
            </w:r>
          </w:p>
        </w:tc>
        <w:tc>
          <w:tcPr>
            <w:tcW w:w="6747" w:type="dxa"/>
            <w:hideMark/>
          </w:tcPr>
          <w:p w14:paraId="743E3F59" w14:textId="77777777" w:rsidR="006C5A06" w:rsidRPr="000546C9" w:rsidRDefault="00DD75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2000-2016</w:t>
            </w:r>
          </w:p>
        </w:tc>
      </w:tr>
      <w:tr w:rsidR="006C5A06" w:rsidRPr="000546C9" w14:paraId="4F44A2E0" w14:textId="77777777" w:rsidTr="000546C9">
        <w:trPr>
          <w:trHeight w:val="1020"/>
        </w:trPr>
        <w:tc>
          <w:tcPr>
            <w:tcW w:w="2689" w:type="dxa"/>
            <w:hideMark/>
          </w:tcPr>
          <w:p w14:paraId="15100302" w14:textId="77777777" w:rsidR="006C5A06" w:rsidRPr="000546C9" w:rsidRDefault="006C5A06" w:rsidP="006C5A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6C9">
              <w:rPr>
                <w:rFonts w:ascii="Arial" w:hAnsi="Arial" w:cs="Arial"/>
                <w:b/>
                <w:bCs/>
                <w:sz w:val="22"/>
                <w:szCs w:val="22"/>
              </w:rPr>
              <w:t>Cobertura espacial*</w:t>
            </w:r>
          </w:p>
        </w:tc>
        <w:tc>
          <w:tcPr>
            <w:tcW w:w="6747" w:type="dxa"/>
            <w:hideMark/>
          </w:tcPr>
          <w:p w14:paraId="225019D4" w14:textId="77777777" w:rsidR="00DD75F3" w:rsidRPr="00217E66" w:rsidRDefault="00DD75F3" w:rsidP="00EA68CB">
            <w:pPr>
              <w:jc w:val="both"/>
              <w:rPr>
                <w:rFonts w:ascii="Arial" w:hAnsi="Arial" w:cs="Arial"/>
                <w:sz w:val="22"/>
                <w:szCs w:val="22"/>
                <w:lang w:val="es-DO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La BDD-</w:t>
            </w:r>
            <w:r w:rsidRPr="00217E66">
              <w:rPr>
                <w:rFonts w:ascii="Arial" w:hAnsi="Arial" w:cs="Arial"/>
                <w:sz w:val="22"/>
                <w:szCs w:val="22"/>
                <w:lang w:val="es-ES_tradnl"/>
              </w:rPr>
              <w:t>GIPAL tiene la cobertura de 16 países de América Latina: Bolivia, Brasil, Chile, Colombia, Costa Rica, Ecuador, El Salvador, Guatemala, Honduras, México, Nicaragua, Panamá, Paraguay, Perú, República Dominicana y Uruguay.</w:t>
            </w:r>
          </w:p>
          <w:p w14:paraId="75FB9308" w14:textId="77777777" w:rsidR="006C5A06" w:rsidRPr="00DD75F3" w:rsidRDefault="006C5A06">
            <w:pPr>
              <w:rPr>
                <w:rFonts w:ascii="Arial" w:hAnsi="Arial" w:cs="Arial"/>
                <w:sz w:val="22"/>
                <w:szCs w:val="22"/>
                <w:lang w:val="es-DO"/>
              </w:rPr>
            </w:pPr>
          </w:p>
        </w:tc>
      </w:tr>
      <w:tr w:rsidR="006C5A06" w:rsidRPr="000546C9" w14:paraId="47C4A70D" w14:textId="77777777" w:rsidTr="000546C9">
        <w:trPr>
          <w:trHeight w:val="1020"/>
        </w:trPr>
        <w:tc>
          <w:tcPr>
            <w:tcW w:w="2689" w:type="dxa"/>
            <w:hideMark/>
          </w:tcPr>
          <w:p w14:paraId="172946B7" w14:textId="77777777" w:rsidR="006C5A06" w:rsidRPr="000546C9" w:rsidRDefault="006C5A06" w:rsidP="006C5A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6C9">
              <w:rPr>
                <w:rFonts w:ascii="Arial" w:hAnsi="Arial" w:cs="Arial"/>
                <w:b/>
                <w:bCs/>
                <w:sz w:val="22"/>
                <w:szCs w:val="22"/>
              </w:rPr>
              <w:t>Enlace a la publicación relacionada</w:t>
            </w:r>
          </w:p>
        </w:tc>
        <w:tc>
          <w:tcPr>
            <w:tcW w:w="6747" w:type="dxa"/>
            <w:hideMark/>
          </w:tcPr>
          <w:p w14:paraId="51DEC5DF" w14:textId="63375D7C" w:rsidR="00217E66" w:rsidRDefault="00217E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Manual Metodológico </w:t>
            </w:r>
            <w:r w:rsidRPr="00EA68CB">
              <w:rPr>
                <w:rFonts w:ascii="Arial" w:hAnsi="Arial" w:cs="Arial"/>
                <w:sz w:val="22"/>
                <w:szCs w:val="22"/>
              </w:rPr>
              <w:t>(</w:t>
            </w:r>
            <w:hyperlink r:id="rId8" w:history="1">
              <w:proofErr w:type="gramStart"/>
              <w:r w:rsidRPr="00EA68CB">
                <w:rPr>
                  <w:rStyle w:val="Hyperlink"/>
                  <w:rFonts w:ascii="Arial" w:hAnsi="Arial" w:cs="Arial"/>
                  <w:sz w:val="22"/>
                  <w:szCs w:val="22"/>
                </w:rPr>
                <w:t>Link</w:t>
              </w:r>
              <w:proofErr w:type="gramEnd"/>
            </w:hyperlink>
            <w:r w:rsidRPr="00EA68C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A59D1BA" w14:textId="0DD4E158" w:rsidR="00217E66" w:rsidRDefault="00217E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de Discusió</w:t>
            </w:r>
            <w:r w:rsidRPr="00EA68CB">
              <w:rPr>
                <w:rFonts w:ascii="Arial" w:hAnsi="Arial" w:cs="Arial"/>
                <w:sz w:val="22"/>
                <w:szCs w:val="22"/>
              </w:rPr>
              <w:t>n (</w:t>
            </w:r>
            <w:hyperlink r:id="rId9" w:history="1">
              <w:proofErr w:type="gramStart"/>
              <w:r w:rsidRPr="00EA68CB">
                <w:rPr>
                  <w:rStyle w:val="Hyperlink"/>
                  <w:rFonts w:ascii="Arial" w:hAnsi="Arial" w:cs="Arial"/>
                  <w:sz w:val="22"/>
                  <w:szCs w:val="22"/>
                </w:rPr>
                <w:t>Link</w:t>
              </w:r>
              <w:proofErr w:type="gramEnd"/>
            </w:hyperlink>
            <w:r w:rsidRPr="00EA68CB">
              <w:rPr>
                <w:rFonts w:ascii="Arial" w:hAnsi="Arial" w:cs="Arial"/>
                <w:sz w:val="22"/>
                <w:szCs w:val="22"/>
              </w:rPr>
              <w:t>)</w:t>
            </w:r>
            <w:bookmarkStart w:id="0" w:name="_GoBack"/>
            <w:bookmarkEnd w:id="0"/>
          </w:p>
          <w:p w14:paraId="12CFC4FC" w14:textId="77777777" w:rsidR="00217E66" w:rsidRPr="000546C9" w:rsidRDefault="00217E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Portal de Visualizaciones </w:t>
            </w:r>
            <w:r w:rsidRPr="00DD75F3">
              <w:rPr>
                <w:rFonts w:ascii="Arial" w:hAnsi="Arial" w:cs="Arial"/>
                <w:sz w:val="22"/>
                <w:szCs w:val="22"/>
                <w:highlight w:val="yellow"/>
              </w:rPr>
              <w:t>(</w:t>
            </w:r>
            <w:proofErr w:type="gramStart"/>
            <w:r w:rsidRPr="00DD75F3">
              <w:rPr>
                <w:rFonts w:ascii="Arial" w:hAnsi="Arial" w:cs="Arial"/>
                <w:sz w:val="22"/>
                <w:szCs w:val="22"/>
                <w:highlight w:val="yellow"/>
              </w:rPr>
              <w:t>Link</w:t>
            </w:r>
            <w:proofErr w:type="gramEnd"/>
            <w:r w:rsidRPr="00DD75F3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</w:p>
        </w:tc>
      </w:tr>
      <w:tr w:rsidR="006C5A06" w:rsidRPr="000546C9" w14:paraId="66C10966" w14:textId="77777777" w:rsidTr="000546C9">
        <w:trPr>
          <w:trHeight w:val="1020"/>
        </w:trPr>
        <w:tc>
          <w:tcPr>
            <w:tcW w:w="2689" w:type="dxa"/>
            <w:hideMark/>
          </w:tcPr>
          <w:p w14:paraId="5E497DB4" w14:textId="77777777" w:rsidR="006C5A06" w:rsidRPr="000546C9" w:rsidRDefault="006C5A06" w:rsidP="006C5A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6C9">
              <w:rPr>
                <w:rFonts w:ascii="Arial" w:hAnsi="Arial" w:cs="Arial"/>
                <w:b/>
                <w:bCs/>
                <w:sz w:val="22"/>
                <w:szCs w:val="22"/>
              </w:rPr>
              <w:t>Tabla con la descripción de variables.</w:t>
            </w:r>
          </w:p>
        </w:tc>
        <w:tc>
          <w:tcPr>
            <w:tcW w:w="6747" w:type="dxa"/>
            <w:hideMark/>
          </w:tcPr>
          <w:p w14:paraId="44685661" w14:textId="678271E9" w:rsidR="006C5A06" w:rsidRDefault="00217E66" w:rsidP="0027547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Inversión Pública: </w:t>
            </w:r>
            <w:r w:rsidRPr="00217E66">
              <w:rPr>
                <w:rFonts w:ascii="Arial" w:hAnsi="Arial" w:cs="Arial"/>
                <w:sz w:val="22"/>
                <w:szCs w:val="22"/>
              </w:rPr>
              <w:t>Formación bruta de capital fijo (FBK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217E66">
              <w:rPr>
                <w:rFonts w:ascii="Arial" w:hAnsi="Arial" w:cs="Arial"/>
                <w:sz w:val="22"/>
                <w:szCs w:val="22"/>
              </w:rPr>
              <w:t>o adquisición neta de activos no financieros del gobierno.</w:t>
            </w:r>
          </w:p>
          <w:p w14:paraId="71C6A7F8" w14:textId="77777777" w:rsidR="00217E66" w:rsidRDefault="00217E66" w:rsidP="0027547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26C209" w14:textId="65D44EC9" w:rsidR="00217E66" w:rsidRPr="00217E66" w:rsidRDefault="00217E66" w:rsidP="0027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Gobierno General: </w:t>
            </w:r>
            <w:r>
              <w:rPr>
                <w:rFonts w:ascii="Arial" w:hAnsi="Arial" w:cs="Arial"/>
                <w:sz w:val="22"/>
                <w:szCs w:val="22"/>
              </w:rPr>
              <w:t>Suma del gobierno central, gobiernos regionales, gobiernos locales y entidades públicas.</w:t>
            </w:r>
          </w:p>
          <w:p w14:paraId="02EED7AC" w14:textId="77777777" w:rsidR="00217E66" w:rsidRDefault="00217E66" w:rsidP="0027547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29F5A1" w14:textId="08F7628C" w:rsidR="00217E66" w:rsidRDefault="00217E66" w:rsidP="0027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Sector Público No Financiero: </w:t>
            </w:r>
            <w:r>
              <w:rPr>
                <w:rFonts w:ascii="Arial" w:hAnsi="Arial" w:cs="Arial"/>
                <w:sz w:val="22"/>
                <w:szCs w:val="22"/>
              </w:rPr>
              <w:t>Suma del gobierno general y las empresas públicas no financieras.</w:t>
            </w:r>
          </w:p>
          <w:p w14:paraId="158C3C93" w14:textId="77777777" w:rsidR="00F42F19" w:rsidRPr="00F42F19" w:rsidRDefault="00F42F19" w:rsidP="0027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C0F137" w14:textId="43E85A45" w:rsidR="00217E66" w:rsidRPr="00217E66" w:rsidRDefault="00217E66" w:rsidP="006140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Clasificación económica del gasto: </w:t>
            </w:r>
            <w:r>
              <w:rPr>
                <w:rFonts w:ascii="Arial" w:hAnsi="Arial" w:cs="Arial"/>
                <w:sz w:val="22"/>
                <w:szCs w:val="22"/>
              </w:rPr>
              <w:t xml:space="preserve">En la BDD-GIPAL, el gasto de capital bajo la clasificación económica se desagrega en Formación Bruta de Capital (FBK), transferencias de capital y otros gastos de capital. La inversión pública corresponde al agregado </w:t>
            </w:r>
            <w:r w:rsidR="00F42F19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FBK.</w:t>
            </w:r>
          </w:p>
          <w:p w14:paraId="19F288A6" w14:textId="77777777" w:rsidR="00217E66" w:rsidRDefault="00217E66" w:rsidP="006140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710E97" w14:textId="11AB3ACB" w:rsidR="00217E66" w:rsidRDefault="00217E66" w:rsidP="006140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Clasificación institucional del gasto: </w:t>
            </w:r>
            <w:r>
              <w:rPr>
                <w:rFonts w:ascii="Arial" w:hAnsi="Arial" w:cs="Arial"/>
                <w:sz w:val="22"/>
                <w:szCs w:val="22"/>
              </w:rPr>
              <w:t>En la BDD-GIPAL, la inversión pública (FBK) se desagrega</w:t>
            </w:r>
            <w:r w:rsidR="00614069">
              <w:rPr>
                <w:rFonts w:ascii="Arial" w:hAnsi="Arial" w:cs="Arial"/>
                <w:sz w:val="22"/>
                <w:szCs w:val="22"/>
              </w:rPr>
              <w:t xml:space="preserve"> según</w:t>
            </w:r>
            <w:r>
              <w:rPr>
                <w:rFonts w:ascii="Arial" w:hAnsi="Arial" w:cs="Arial"/>
                <w:sz w:val="22"/>
                <w:szCs w:val="22"/>
              </w:rPr>
              <w:t xml:space="preserve"> los niveles </w:t>
            </w:r>
            <w:r w:rsidR="00614069">
              <w:rPr>
                <w:rFonts w:ascii="Arial" w:hAnsi="Arial" w:cs="Arial"/>
                <w:sz w:val="22"/>
                <w:szCs w:val="22"/>
              </w:rPr>
              <w:t>institucionales</w:t>
            </w:r>
            <w:r w:rsidR="00506176">
              <w:rPr>
                <w:rFonts w:ascii="Arial" w:hAnsi="Arial" w:cs="Arial"/>
                <w:sz w:val="22"/>
                <w:szCs w:val="22"/>
              </w:rPr>
              <w:t xml:space="preserve"> que ejecutan el gasto. Para el gobierno general, los niveles son</w:t>
            </w:r>
            <w:r>
              <w:rPr>
                <w:rFonts w:ascii="Arial" w:hAnsi="Arial" w:cs="Arial"/>
                <w:sz w:val="22"/>
                <w:szCs w:val="22"/>
              </w:rPr>
              <w:t xml:space="preserve">: gobierno central, gobiernos regionales, gobiernos locales y entidades públicas. </w:t>
            </w:r>
            <w:r w:rsidR="00506176">
              <w:rPr>
                <w:rFonts w:ascii="Arial" w:hAnsi="Arial" w:cs="Arial"/>
                <w:sz w:val="22"/>
                <w:szCs w:val="22"/>
              </w:rPr>
              <w:t>Para el SPNF: En adición al gobierno general, también se</w:t>
            </w:r>
            <w:r>
              <w:rPr>
                <w:rFonts w:ascii="Arial" w:hAnsi="Arial" w:cs="Arial"/>
                <w:sz w:val="22"/>
                <w:szCs w:val="22"/>
              </w:rPr>
              <w:t xml:space="preserve"> presenta</w:t>
            </w:r>
            <w:r w:rsidR="00506176">
              <w:rPr>
                <w:rFonts w:ascii="Arial" w:hAnsi="Arial" w:cs="Arial"/>
                <w:sz w:val="22"/>
                <w:szCs w:val="22"/>
              </w:rPr>
              <w:t xml:space="preserve"> la inversión </w:t>
            </w:r>
            <w:r>
              <w:rPr>
                <w:rFonts w:ascii="Arial" w:hAnsi="Arial" w:cs="Arial"/>
                <w:sz w:val="22"/>
                <w:szCs w:val="22"/>
              </w:rPr>
              <w:t>de las Empresas</w:t>
            </w:r>
            <w:r w:rsidR="00DD75F3">
              <w:rPr>
                <w:rFonts w:ascii="Arial" w:hAnsi="Arial" w:cs="Arial"/>
                <w:sz w:val="22"/>
                <w:szCs w:val="22"/>
              </w:rPr>
              <w:t xml:space="preserve"> Públicas No Financieras.</w:t>
            </w:r>
            <w:r w:rsidR="00DD75F3" w:rsidRPr="00217E66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Se excluye la inversión de asociaciones públ</w:t>
            </w:r>
            <w:r w:rsidR="00614069">
              <w:rPr>
                <w:rFonts w:ascii="Arial" w:hAnsi="Arial" w:cs="Arial"/>
                <w:sz w:val="22"/>
                <w:szCs w:val="22"/>
                <w:lang w:val="es-ES_tradnl"/>
              </w:rPr>
              <w:t>ico-privadas.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744978DD" w14:textId="43DBD2B9" w:rsidR="00217E66" w:rsidRDefault="00217E66" w:rsidP="00614069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Clasificación funcional del gasto:</w:t>
            </w:r>
            <w:r w:rsidR="00DD75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D75F3">
              <w:rPr>
                <w:rFonts w:ascii="Arial" w:hAnsi="Arial" w:cs="Arial"/>
                <w:sz w:val="22"/>
                <w:szCs w:val="22"/>
              </w:rPr>
              <w:t xml:space="preserve">El gasto </w:t>
            </w:r>
            <w:r w:rsidR="00346D4C">
              <w:rPr>
                <w:rFonts w:ascii="Arial" w:hAnsi="Arial" w:cs="Arial"/>
                <w:sz w:val="22"/>
                <w:szCs w:val="22"/>
              </w:rPr>
              <w:t xml:space="preserve">en inversión pública se presenta desagregado en 10 </w:t>
            </w:r>
            <w:r w:rsidR="00DD75F3" w:rsidRPr="00217E66">
              <w:rPr>
                <w:rFonts w:ascii="Arial" w:hAnsi="Arial" w:cs="Arial"/>
                <w:sz w:val="22"/>
                <w:szCs w:val="22"/>
                <w:lang w:val="es-ES_tradnl"/>
              </w:rPr>
              <w:t>funciones, bajo la metodología internacional COFOG de la UN/OCDE</w:t>
            </w:r>
            <w:r w:rsidR="00346D4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275479">
              <w:rPr>
                <w:rFonts w:ascii="Arial" w:hAnsi="Arial" w:cs="Arial"/>
                <w:sz w:val="22"/>
                <w:szCs w:val="22"/>
                <w:lang w:val="es-ES_tradnl"/>
              </w:rPr>
              <w:t>(</w:t>
            </w:r>
            <w:r w:rsidR="00346D4C">
              <w:rPr>
                <w:rFonts w:ascii="Arial" w:hAnsi="Arial" w:cs="Arial"/>
                <w:sz w:val="22"/>
                <w:szCs w:val="22"/>
                <w:lang w:val="es-ES_tradnl"/>
              </w:rPr>
              <w:t>2000</w:t>
            </w:r>
            <w:r w:rsidR="00275479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  <w:r w:rsidR="00346D4C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: </w:t>
            </w:r>
            <w:r w:rsidR="00346D4C" w:rsidRPr="00346D4C">
              <w:rPr>
                <w:rFonts w:ascii="Arial" w:hAnsi="Arial" w:cs="Arial"/>
                <w:sz w:val="22"/>
                <w:szCs w:val="22"/>
                <w:lang w:val="es-ES_tradnl"/>
              </w:rPr>
              <w:t>Servicios Públicos Generales, Defensa, Orden Público y Seguridad, Asuntos Económicos, Protección Ambiental, Vivienda y Servicios Comunitarios, Salud, Recreación, Cultura y Religión, Educación, Protección Social.</w:t>
            </w:r>
          </w:p>
          <w:p w14:paraId="632FCBE3" w14:textId="3BADA4A6" w:rsidR="00F42F19" w:rsidRDefault="00F42F19" w:rsidP="0027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0AEE16" w14:textId="60205071" w:rsidR="00614069" w:rsidRPr="000A0D91" w:rsidRDefault="00F42F19" w:rsidP="002754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Clasificación cruzada del gasto: </w:t>
            </w:r>
            <w:r w:rsidR="00614069">
              <w:rPr>
                <w:rFonts w:ascii="Arial" w:hAnsi="Arial" w:cs="Arial"/>
                <w:sz w:val="22"/>
                <w:szCs w:val="22"/>
              </w:rPr>
              <w:t>Se refiere a la clasificación cruzada económica-funcional-institucional del gasto en inversión pública, uno de los aportes de GIPAL</w:t>
            </w:r>
            <w:r w:rsidR="00710C8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4069">
              <w:rPr>
                <w:rFonts w:ascii="Arial" w:hAnsi="Arial" w:cs="Arial"/>
                <w:sz w:val="22"/>
                <w:szCs w:val="22"/>
              </w:rPr>
              <w:t xml:space="preserve">El </w:t>
            </w:r>
            <w:r w:rsidR="007C25D4">
              <w:rPr>
                <w:rFonts w:ascii="Arial" w:hAnsi="Arial" w:cs="Arial"/>
                <w:sz w:val="22"/>
                <w:szCs w:val="22"/>
              </w:rPr>
              <w:t>gasto en</w:t>
            </w:r>
            <w:r>
              <w:rPr>
                <w:rFonts w:ascii="Arial" w:hAnsi="Arial" w:cs="Arial"/>
                <w:sz w:val="22"/>
                <w:szCs w:val="22"/>
              </w:rPr>
              <w:t xml:space="preserve"> inversión pública (clasificación económica) se presenta desagregad</w:t>
            </w:r>
            <w:r w:rsidR="007C25D4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por funciones (clasificación funcional)</w:t>
            </w:r>
            <w:r w:rsidR="007C25D4">
              <w:rPr>
                <w:rFonts w:ascii="Arial" w:hAnsi="Arial" w:cs="Arial"/>
                <w:sz w:val="22"/>
                <w:szCs w:val="22"/>
              </w:rPr>
              <w:t xml:space="preserve">; a su vez, </w:t>
            </w:r>
            <w:r>
              <w:rPr>
                <w:rFonts w:ascii="Arial" w:hAnsi="Arial" w:cs="Arial"/>
                <w:sz w:val="22"/>
                <w:szCs w:val="22"/>
              </w:rPr>
              <w:t>el gasto funcional se presenta desagregado según el nivel de gobierno que lo ejecuta (clasificación institucional).</w:t>
            </w:r>
          </w:p>
          <w:p w14:paraId="41AEB776" w14:textId="77777777" w:rsidR="00217E66" w:rsidRPr="00217E66" w:rsidRDefault="00217E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C5A06" w:rsidRPr="000546C9" w14:paraId="27AE858C" w14:textId="77777777" w:rsidTr="000546C9">
        <w:trPr>
          <w:trHeight w:val="884"/>
        </w:trPr>
        <w:tc>
          <w:tcPr>
            <w:tcW w:w="2689" w:type="dxa"/>
            <w:hideMark/>
          </w:tcPr>
          <w:p w14:paraId="16927E9A" w14:textId="00312D42" w:rsidR="006C5A06" w:rsidRPr="000546C9" w:rsidRDefault="003343AD" w:rsidP="006C5A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</w:t>
            </w:r>
            <w:r w:rsidR="006C5A06" w:rsidRPr="000546C9">
              <w:rPr>
                <w:rFonts w:ascii="Arial" w:hAnsi="Arial" w:cs="Arial"/>
                <w:b/>
                <w:bCs/>
                <w:sz w:val="22"/>
                <w:szCs w:val="22"/>
              </w:rPr>
              <w:t>isclaimer</w:t>
            </w:r>
            <w:proofErr w:type="spellEnd"/>
            <w:r w:rsidR="006C5A06" w:rsidRPr="000546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B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6747" w:type="dxa"/>
            <w:hideMark/>
          </w:tcPr>
          <w:p w14:paraId="1754AE13" w14:textId="77777777" w:rsidR="003343AD" w:rsidRPr="003343AD" w:rsidRDefault="003343AD" w:rsidP="00EA68CB">
            <w:pPr>
              <w:pStyle w:val="NormalWeb"/>
              <w:spacing w:after="150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3343AD">
              <w:rPr>
                <w:rFonts w:ascii="Arial" w:hAnsi="Arial" w:cs="Arial"/>
                <w:color w:val="333333"/>
                <w:sz w:val="22"/>
                <w:szCs w:val="22"/>
              </w:rPr>
              <w:t>Los resultados ofrecidos en esta/e base de datos/conjunto de datos son los compilados por los autores y no necesariamente reflejan el punto de vista del Banco Interamericano de Desarrollo, de su Directorio Ejecutivo ni de los países que representa.</w:t>
            </w:r>
          </w:p>
          <w:p w14:paraId="0D0F86AE" w14:textId="0A630487" w:rsidR="006C5A06" w:rsidRPr="003343AD" w:rsidRDefault="006C5A06">
            <w:pPr>
              <w:rPr>
                <w:rFonts w:ascii="Arial" w:hAnsi="Arial" w:cs="Arial"/>
                <w:strike/>
                <w:sz w:val="22"/>
                <w:szCs w:val="22"/>
                <w:lang w:val="es-UY"/>
              </w:rPr>
            </w:pPr>
          </w:p>
        </w:tc>
      </w:tr>
      <w:tr w:rsidR="006C5A06" w:rsidRPr="000546C9" w14:paraId="3AE180D0" w14:textId="77777777" w:rsidTr="00DA6821">
        <w:trPr>
          <w:trHeight w:val="54"/>
        </w:trPr>
        <w:tc>
          <w:tcPr>
            <w:tcW w:w="2689" w:type="dxa"/>
            <w:hideMark/>
          </w:tcPr>
          <w:p w14:paraId="6D461882" w14:textId="77777777" w:rsidR="006C5A06" w:rsidRPr="000546C9" w:rsidRDefault="006C5A06" w:rsidP="006C5A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46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Notas adicionales y agradecimientos </w:t>
            </w:r>
          </w:p>
        </w:tc>
        <w:tc>
          <w:tcPr>
            <w:tcW w:w="6747" w:type="dxa"/>
            <w:hideMark/>
          </w:tcPr>
          <w:p w14:paraId="6A40DAC8" w14:textId="04FE3B1E" w:rsidR="00592110" w:rsidRPr="00592110" w:rsidRDefault="00592110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592110">
              <w:rPr>
                <w:rFonts w:ascii="Arial" w:hAnsi="Arial" w:cs="Arial"/>
                <w:b/>
                <w:sz w:val="22"/>
                <w:szCs w:val="22"/>
              </w:rPr>
              <w:t>Notas Adicionales:</w:t>
            </w:r>
          </w:p>
          <w:p w14:paraId="705DE05B" w14:textId="2B388FCD" w:rsidR="00592110" w:rsidRDefault="00592110" w:rsidP="00DA682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 la BDD-GIPAL</w:t>
            </w:r>
            <w:r w:rsidR="00506176">
              <w:rPr>
                <w:rFonts w:ascii="Arial" w:hAnsi="Arial" w:cs="Arial"/>
                <w:sz w:val="22"/>
                <w:szCs w:val="22"/>
              </w:rPr>
              <w:t>, la inversión pública se define como el agregado de Formación Bruta de Capital (FBK); los datos corresponden a</w:t>
            </w:r>
            <w:r>
              <w:rPr>
                <w:rFonts w:ascii="Arial" w:hAnsi="Arial" w:cs="Arial"/>
                <w:sz w:val="22"/>
                <w:szCs w:val="22"/>
              </w:rPr>
              <w:t xml:space="preserve">l gasto ejecutado (base devengado). Los datos se presentan en valores absolutos (moneda nacional) y en valores relativos (como porcentaje del PIB, como porcentaje del gasto </w:t>
            </w:r>
            <w:r w:rsidR="00506176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>
              <w:rPr>
                <w:rFonts w:ascii="Arial" w:hAnsi="Arial" w:cs="Arial"/>
                <w:sz w:val="22"/>
                <w:szCs w:val="22"/>
              </w:rPr>
              <w:t>y en dólares per cápita). Para algunos países se cuenta con los datos del gasto ejecutado como porcentaje del gasto presupuestado</w:t>
            </w:r>
            <w:r w:rsidR="00614069">
              <w:rPr>
                <w:rFonts w:ascii="Arial" w:hAnsi="Arial" w:cs="Arial"/>
                <w:sz w:val="22"/>
                <w:szCs w:val="22"/>
              </w:rPr>
              <w:t xml:space="preserve"> (proxy de la calidad de la gestión).</w:t>
            </w:r>
          </w:p>
          <w:p w14:paraId="4F353A18" w14:textId="6EAFD9AB" w:rsidR="006C5A06" w:rsidRDefault="0059211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A6821">
              <w:rPr>
                <w:rFonts w:ascii="Arial" w:hAnsi="Arial" w:cs="Arial"/>
                <w:b/>
                <w:sz w:val="22"/>
                <w:szCs w:val="22"/>
              </w:rPr>
              <w:t>Agradecimientos</w:t>
            </w:r>
            <w:r w:rsidR="00DA6821" w:rsidRPr="00DA682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A6821" w:rsidRPr="00DA6821">
              <w:rPr>
                <w:rFonts w:ascii="Arial" w:hAnsi="Arial" w:cs="Arial"/>
                <w:sz w:val="22"/>
                <w:szCs w:val="22"/>
              </w:rPr>
              <w:t xml:space="preserve">Agradecemos al personal técnico de diversas entidades gubernamentales de América Latina, por su apoyo en la </w:t>
            </w:r>
            <w:r w:rsidR="00DA6821">
              <w:rPr>
                <w:rFonts w:ascii="Arial" w:hAnsi="Arial" w:cs="Arial"/>
                <w:sz w:val="22"/>
                <w:szCs w:val="22"/>
              </w:rPr>
              <w:t>construcción</w:t>
            </w:r>
            <w:r w:rsidR="00DA6821" w:rsidRPr="00DA6821">
              <w:rPr>
                <w:rFonts w:ascii="Arial" w:hAnsi="Arial" w:cs="Arial"/>
                <w:sz w:val="22"/>
                <w:szCs w:val="22"/>
              </w:rPr>
              <w:t xml:space="preserve"> de esta Base de Datos.</w:t>
            </w:r>
            <w:r w:rsidR="00DA6821" w:rsidRPr="00DA68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5272C76" w14:textId="33F16826" w:rsidR="00DA6821" w:rsidRPr="00506176" w:rsidRDefault="00DA68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176C26" w14:textId="77777777" w:rsidR="006C5A06" w:rsidRPr="00DA6821" w:rsidRDefault="006C5A06" w:rsidP="006C5A06">
      <w:pPr>
        <w:rPr>
          <w:rFonts w:ascii="Arial" w:hAnsi="Arial" w:cs="Arial"/>
          <w:sz w:val="24"/>
          <w:szCs w:val="24"/>
        </w:rPr>
      </w:pPr>
    </w:p>
    <w:p w14:paraId="359CDDAC" w14:textId="77777777" w:rsidR="00D214B4" w:rsidRDefault="00D214B4" w:rsidP="006C5A06">
      <w:pPr>
        <w:rPr>
          <w:rFonts w:ascii="Arial" w:hAnsi="Arial" w:cs="Arial"/>
          <w:sz w:val="24"/>
          <w:szCs w:val="24"/>
          <w:lang w:val="es-UY"/>
        </w:rPr>
      </w:pPr>
    </w:p>
    <w:p w14:paraId="7F4D9A26" w14:textId="266EE254" w:rsidR="00D214B4" w:rsidRPr="003343AD" w:rsidRDefault="00D214B4" w:rsidP="006C5A06">
      <w:pPr>
        <w:rPr>
          <w:rFonts w:ascii="Arial" w:hAnsi="Arial" w:cs="Arial"/>
          <w:strike/>
          <w:sz w:val="24"/>
          <w:szCs w:val="24"/>
          <w:lang w:val="es-UY"/>
        </w:rPr>
      </w:pPr>
    </w:p>
    <w:sectPr w:rsidR="00D214B4" w:rsidRPr="003343AD">
      <w:footerReference w:type="default" r:id="rId10"/>
      <w:headerReference w:type="first" r:id="rId11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3ED3E" w14:textId="77777777" w:rsidR="00BE61C9" w:rsidRDefault="00BE61C9">
      <w:r>
        <w:separator/>
      </w:r>
    </w:p>
    <w:p w14:paraId="54A12C6D" w14:textId="77777777" w:rsidR="00BE61C9" w:rsidRDefault="00BE61C9"/>
  </w:endnote>
  <w:endnote w:type="continuationSeparator" w:id="0">
    <w:p w14:paraId="11F4E89B" w14:textId="77777777" w:rsidR="00BE61C9" w:rsidRDefault="00BE61C9">
      <w:r>
        <w:continuationSeparator/>
      </w:r>
    </w:p>
    <w:p w14:paraId="7B8C4897" w14:textId="77777777" w:rsidR="00BE61C9" w:rsidRDefault="00BE61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5B78B" w14:textId="77777777" w:rsidR="005A6A9B" w:rsidRDefault="00B052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F3C5E" w14:textId="77777777" w:rsidR="00BE61C9" w:rsidRDefault="00BE61C9">
      <w:r>
        <w:separator/>
      </w:r>
    </w:p>
    <w:p w14:paraId="12EBA896" w14:textId="77777777" w:rsidR="00BE61C9" w:rsidRDefault="00BE61C9"/>
  </w:footnote>
  <w:footnote w:type="continuationSeparator" w:id="0">
    <w:p w14:paraId="5C3ACDD6" w14:textId="77777777" w:rsidR="00BE61C9" w:rsidRDefault="00BE61C9">
      <w:r>
        <w:continuationSeparator/>
      </w:r>
    </w:p>
    <w:p w14:paraId="56F76B2C" w14:textId="77777777" w:rsidR="00BE61C9" w:rsidRDefault="00BE61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81659" w14:textId="77777777" w:rsidR="000546C9" w:rsidRDefault="000546C9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0E0262" wp14:editId="157E40E5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o 15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o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ángulo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ángulo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ángulo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Cuadro de texto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C5C1F" w14:textId="77777777" w:rsidR="000546C9" w:rsidRDefault="000546C9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0E0262" id="Grupo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">
              <v:group id="Grupo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">
                <v:rect id="Rectángulo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" fillcolor="white [3212]" stroked="f" strokeweight="1pt">
                  <v:fill opacity="0"/>
                </v:rect>
                <v:shape id="Rectángulo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" path="m,l1462822,,910372,376306,,1014481,,xe" fillcolor="#731c3f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ángulo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" filled="f" stroked="f" strokeweight=".5pt">
                <v:textbox inset=",7.2pt,,7.2pt">
                  <w:txbxContent>
                    <w:p w14:paraId="278C5C1F" w14:textId="77777777" w:rsidR="000546C9" w:rsidRDefault="000546C9">
                      <w:pPr>
                        <w:pStyle w:val="Encabezado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06"/>
    <w:rsid w:val="000546C9"/>
    <w:rsid w:val="000A0D91"/>
    <w:rsid w:val="000A1E95"/>
    <w:rsid w:val="00106A32"/>
    <w:rsid w:val="00217E66"/>
    <w:rsid w:val="002374FD"/>
    <w:rsid w:val="00275479"/>
    <w:rsid w:val="002F31C9"/>
    <w:rsid w:val="003343AD"/>
    <w:rsid w:val="00346D4C"/>
    <w:rsid w:val="004762E7"/>
    <w:rsid w:val="004864EB"/>
    <w:rsid w:val="004D5F5F"/>
    <w:rsid w:val="00506176"/>
    <w:rsid w:val="005350F9"/>
    <w:rsid w:val="00570B60"/>
    <w:rsid w:val="00592110"/>
    <w:rsid w:val="005A6A9B"/>
    <w:rsid w:val="00614069"/>
    <w:rsid w:val="006C5A06"/>
    <w:rsid w:val="00710C81"/>
    <w:rsid w:val="007C25D4"/>
    <w:rsid w:val="007F629F"/>
    <w:rsid w:val="00A25551"/>
    <w:rsid w:val="00AB08B5"/>
    <w:rsid w:val="00AD255F"/>
    <w:rsid w:val="00B052CE"/>
    <w:rsid w:val="00B94ED9"/>
    <w:rsid w:val="00BE61C9"/>
    <w:rsid w:val="00CD186B"/>
    <w:rsid w:val="00D16C01"/>
    <w:rsid w:val="00D214B4"/>
    <w:rsid w:val="00DA6821"/>
    <w:rsid w:val="00DD75F3"/>
    <w:rsid w:val="00E216DD"/>
    <w:rsid w:val="00EA68CB"/>
    <w:rsid w:val="00EE53A7"/>
    <w:rsid w:val="00F42F19"/>
    <w:rsid w:val="00FA4367"/>
    <w:rsid w:val="00F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69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95"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A0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E66"/>
    <w:rPr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E66"/>
    <w:rPr>
      <w:b/>
      <w:bCs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E66"/>
    <w:rPr>
      <w:rFonts w:ascii="Segoe UI" w:hAnsi="Segoe UI" w:cs="Segoe UI"/>
      <w:sz w:val="18"/>
      <w:szCs w:val="18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3343AD"/>
    <w:rPr>
      <w:color w:val="214C5E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3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UY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bdocs.iadb.org/wsdocs/getDocument.aspx?DOCNUM=EZSHARE-1968034328-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dbdocs.iadb.org/wsdocs/getDocument.aspx?DOCNUM=EZSHARE-1968034328-1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>
  <b:Source>
    <b:Tag>Car19</b:Tag>
    <b:SourceType>ElectronicSource</b:SourceType>
    <b:Guid>{C8AB5D27-1107-614B-9831-37C2EC8AD43A}</b:Guid>
    <b:Title>Hoja de Metadatos</b:Title>
    <b:City>Washington, DC</b:City>
    <b:Year>2019</b:Year>
    <b:Author>
      <b:Author>
        <b:NameList>
          <b:Person>
            <b:Last>Huart</b:Last>
            <b:First>Carolina</b:First>
          </b:Person>
          <b:Person>
            <b:Last>Huart</b:Last>
            <b:First>Carolina</b:First>
          </b:Person>
        </b:NameList>
      </b:Author>
    </b:Author>
    <b:Month>Junio</b:Month>
    <b:Day>25</b:Day>
    <b:RefOrder>1</b:RefOrder>
  </b:Source>
</b:Sources>
</file>

<file path=customXml/itemProps1.xml><?xml version="1.0" encoding="utf-8"?>
<ds:datastoreItem xmlns:ds="http://schemas.openxmlformats.org/officeDocument/2006/customXml" ds:itemID="{A040A82D-BCE6-4215-B0AA-F976DB7E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2019-09-03T21:42:00Z</dcterms:created>
  <dcterms:modified xsi:type="dcterms:W3CDTF">2019-09-03T21:42:00Z</dcterms:modified>
</cp:coreProperties>
</file>